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"/>
        <w:gridCol w:w="58"/>
        <w:gridCol w:w="651"/>
        <w:gridCol w:w="709"/>
        <w:gridCol w:w="709"/>
        <w:gridCol w:w="1696"/>
        <w:gridCol w:w="113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5"/>
        <w:gridCol w:w="2694"/>
      </w:tblGrid>
      <w:tr w:rsidR="0075247B" w:rsidRPr="00F4167F" w14:paraId="51F1EC2C" w14:textId="77777777" w:rsidTr="004911FB">
        <w:trPr>
          <w:trHeight w:val="437"/>
        </w:trPr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0000"/>
          </w:tcPr>
          <w:p w14:paraId="1BB1BE1B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</w:tcPr>
          <w:p w14:paraId="5AE4C85C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0000"/>
          </w:tcPr>
          <w:p w14:paraId="15E7505C" w14:textId="2D2E3E89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0000"/>
          </w:tcPr>
          <w:p w14:paraId="66029237" w14:textId="04FF4AF8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</w:pPr>
          </w:p>
        </w:tc>
        <w:tc>
          <w:tcPr>
            <w:tcW w:w="11619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78619083" w14:textId="324B00C5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</w:pPr>
            <w:bookmarkStart w:id="0" w:name="RANGE!A1:K17"/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 xml:space="preserve">Cédula </w:t>
            </w:r>
            <w:r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>4.1.b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 xml:space="preserve"> 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br/>
              <w:t xml:space="preserve">Mapa de la equivalencia de los </w:t>
            </w:r>
            <w:r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>A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 xml:space="preserve">tributos de </w:t>
            </w:r>
            <w:r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>E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 xml:space="preserve">greso del PE respecto a los </w:t>
            </w:r>
            <w:r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>A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 xml:space="preserve">tributos de </w:t>
            </w:r>
            <w:r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>E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 xml:space="preserve">greso </w:t>
            </w:r>
            <w:r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>del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 xml:space="preserve"> CACEI</w:t>
            </w:r>
            <w:bookmarkEnd w:id="0"/>
          </w:p>
        </w:tc>
      </w:tr>
      <w:tr w:rsidR="004911FB" w:rsidRPr="00F4167F" w14:paraId="5B223E76" w14:textId="77777777" w:rsidTr="004911FB">
        <w:trPr>
          <w:trHeight w:val="276"/>
        </w:trPr>
        <w:tc>
          <w:tcPr>
            <w:tcW w:w="140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8FE341E" w14:textId="75C6E2B1" w:rsidR="004911FB" w:rsidRPr="00F4167F" w:rsidRDefault="004911F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Ver instrucciones en la hoja correspondiente</w:t>
            </w:r>
          </w:p>
        </w:tc>
      </w:tr>
      <w:tr w:rsidR="0075247B" w:rsidRPr="00F4167F" w14:paraId="274EFED4" w14:textId="77777777" w:rsidTr="004911FB">
        <w:trPr>
          <w:trHeight w:val="312"/>
        </w:trPr>
        <w:tc>
          <w:tcPr>
            <w:tcW w:w="41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BC30D5B" w14:textId="1246372C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1. Atributos de egreso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(AE)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br/>
              <w:t>del programa educativo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E449C2" w14:textId="26596ABA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2. Nombre abreviado 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br/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de los AE del PE</w:t>
            </w:r>
          </w:p>
        </w:tc>
        <w:tc>
          <w:tcPr>
            <w:tcW w:w="609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14EE47F5" w14:textId="6BE1F34B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3. Atributos de egreso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d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el CACEI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*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4B497D" w14:textId="0A6BA719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4. Justi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f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icación de la relación entre los atributos del PE y los de CACEI</w:t>
            </w:r>
          </w:p>
        </w:tc>
      </w:tr>
      <w:tr w:rsidR="004911FB" w:rsidRPr="00F4167F" w14:paraId="1250155B" w14:textId="77777777" w:rsidTr="004911FB">
        <w:trPr>
          <w:cantSplit/>
          <w:trHeight w:val="1574"/>
        </w:trPr>
        <w:tc>
          <w:tcPr>
            <w:tcW w:w="410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E26F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6E13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B5FC01E" w14:textId="1E011A97" w:rsidR="0075247B" w:rsidRPr="00F4167F" w:rsidRDefault="0075247B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1.</w:t>
            </w:r>
            <w:r w:rsidR="004911F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Conocimientos de</w:t>
            </w:r>
            <w:r w:rsidR="005F633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Ingeniería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5A2A59" w14:textId="4D2809D5" w:rsidR="0075247B" w:rsidRPr="00F4167F" w:rsidRDefault="0075247B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2..</w:t>
            </w:r>
            <w:r w:rsidR="005F633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Problemas</w:t>
            </w:r>
            <w:r w:rsidR="009A783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de Ing Complejos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5175E17" w14:textId="3617B9C9" w:rsidR="0075247B" w:rsidRPr="00F4167F" w:rsidRDefault="0075247B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3.</w:t>
            </w:r>
            <w:r w:rsidR="004911F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5F633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Diseño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817650" w14:textId="7E2549FA" w:rsidR="0075247B" w:rsidRPr="00F4167F" w:rsidRDefault="0075247B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4,</w:t>
            </w:r>
            <w:r w:rsidR="004911F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5F633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Investigación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DA4D2BA" w14:textId="02F0673D" w:rsidR="0075247B" w:rsidRPr="00F4167F" w:rsidRDefault="0075247B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5.</w:t>
            </w:r>
            <w:r w:rsidR="004911F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5F633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Uso de Herramientas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79472CCE" w14:textId="53265869" w:rsidR="0075247B" w:rsidRPr="00F4167F" w:rsidRDefault="005F6337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6. El Ingeniero y el Mundo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734E032" w14:textId="2CBD560A" w:rsidR="0075247B" w:rsidRPr="00F4167F" w:rsidRDefault="005F6337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7. Ética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6729A316" w14:textId="073D21F6" w:rsidR="0075247B" w:rsidRPr="00F4167F" w:rsidRDefault="005F6337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8. Trabajo en Equipo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436276E8" w14:textId="7075CDE0" w:rsidR="0075247B" w:rsidRPr="00F4167F" w:rsidRDefault="005F6337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9. Comunicación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33787C0C" w14:textId="04EE0636" w:rsidR="0075247B" w:rsidRPr="00F4167F" w:rsidRDefault="005F6337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10. Gestión de Proyectos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289A19A" w14:textId="2505CA29" w:rsidR="0075247B" w:rsidRPr="00F4167F" w:rsidRDefault="005F6337" w:rsidP="004911FB">
            <w:pPr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11</w:t>
            </w:r>
            <w:r w:rsidR="0075247B"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.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Aprendizaje para la vida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56B4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4911FB" w:rsidRPr="00F4167F" w14:paraId="4947B033" w14:textId="77777777" w:rsidTr="004911FB">
        <w:trPr>
          <w:trHeight w:val="426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EEFF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1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6906330" w14:textId="135166F0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C39E4E7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622A" w14:textId="08CA40A9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9CA1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AF3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C6CD" w14:textId="77777777" w:rsidR="0075247B" w:rsidRPr="00F4167F" w:rsidRDefault="0075247B" w:rsidP="0075247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61E4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9B8F0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433E" w14:textId="3A8EDF4F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EB7A52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9001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145B7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6C14" w14:textId="303BA310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70AD6" w14:textId="5FD9F56C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5AD2D881" w14:textId="77777777" w:rsidTr="004911FB">
        <w:trPr>
          <w:trHeight w:val="419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6320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2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0CAB138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AFD8F14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D506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0A18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F610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9843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F849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32E5A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0055" w14:textId="73D87D7E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D0103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904D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98CD5D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815D" w14:textId="72BC3EAA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5A75F" w14:textId="47A912D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354249EC" w14:textId="77777777" w:rsidTr="004911FB">
        <w:trPr>
          <w:trHeight w:val="424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A367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3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D319EC0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3A42103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5431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CF6A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F9C4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8908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AD8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BDAC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1384" w14:textId="39261BF8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557E8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13C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6AC56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91EF" w14:textId="400B3822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055A4" w14:textId="3C44A8E8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30BAC2B8" w14:textId="77777777" w:rsidTr="004911FB">
        <w:trPr>
          <w:trHeight w:val="402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B84D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4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B1D4C72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E0A8F87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E6EA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73AD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976D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19CB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81D9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A0C0C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3A79" w14:textId="0FD5BEEC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98C4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5431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2BD0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093B" w14:textId="755E4BA9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9C4AB" w14:textId="3110AE3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1C37DE6A" w14:textId="77777777" w:rsidTr="004911FB">
        <w:trPr>
          <w:trHeight w:val="423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DB39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5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902CD08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B809601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85F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551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0C7C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A772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9550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20290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C9D3" w14:textId="1A7CF790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631D2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EBE1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72DF1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5A21" w14:textId="5DBBB972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A597D" w14:textId="67F836F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166C6A94" w14:textId="77777777" w:rsidTr="004911FB">
        <w:trPr>
          <w:trHeight w:val="415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3F5B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6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BF75E66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BED4ED1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60A5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8709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5018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6ACD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429F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AA1CD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82E4" w14:textId="64993171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654A2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6F1F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8BF70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0FFE" w14:textId="01E66D93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53F5B" w14:textId="38618A68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3FACA818" w14:textId="77777777" w:rsidTr="004911FB">
        <w:trPr>
          <w:trHeight w:val="420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69C2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7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08327F1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2A03B0B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DD73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776C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1A69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267B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0B96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55580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373B" w14:textId="06EE28F1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CE60F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9B4C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CA83F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C60C" w14:textId="1AB509FD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89EB0" w14:textId="1107881C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75BB34EC" w14:textId="77777777" w:rsidTr="004911FB">
        <w:trPr>
          <w:trHeight w:val="398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789C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8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F54D4FC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47B98FE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331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06DA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A3E7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8C11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3607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D2D96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79D1" w14:textId="56CE194B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82F9A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0D13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D5B7C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2781" w14:textId="2BBF5979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3853D" w14:textId="68FD42DB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5C92AF34" w14:textId="77777777" w:rsidTr="004911FB">
        <w:trPr>
          <w:trHeight w:val="291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31A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9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880A213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9D67FC8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DD11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C4F8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383C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1CFA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9217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2ADF5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4C14" w14:textId="7DBA9713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BA8C8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CA4F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C27BF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7F4C" w14:textId="4A9B65C2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04CE5" w14:textId="56FABD99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0F95C741" w14:textId="77777777" w:rsidTr="004911FB">
        <w:trPr>
          <w:trHeight w:val="381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38B5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10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D8430ED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355BE48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93E5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7376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4359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59C4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8307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D9FC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80AD" w14:textId="6B188C28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0C49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1A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0CC9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6495" w14:textId="387D8535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88C28" w14:textId="6C4881F4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67F93900" w14:textId="77777777" w:rsidTr="004911FB">
        <w:trPr>
          <w:trHeight w:val="414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D199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11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3BA8AEA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766FEC8D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D7E6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71F0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E6CB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D515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7095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D373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B176" w14:textId="6C487156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636F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71F7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E600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D196" w14:textId="281E6D49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1398A" w14:textId="34AE52A5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4911FB" w:rsidRPr="00F4167F" w14:paraId="78CCE2AC" w14:textId="77777777" w:rsidTr="004911FB">
        <w:trPr>
          <w:trHeight w:val="279"/>
        </w:trPr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94FB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12</w:t>
            </w:r>
          </w:p>
        </w:tc>
        <w:tc>
          <w:tcPr>
            <w:tcW w:w="3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BC552D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1C59B7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AE6D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74F2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5096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812F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90C2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6CB2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5484" w14:textId="162CA923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482E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C415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3C62" w14:textId="77777777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3753" w14:textId="2F8E5C9A" w:rsidR="0075247B" w:rsidRPr="00F4167F" w:rsidRDefault="0075247B" w:rsidP="00F4167F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5027" w14:textId="77777777" w:rsidR="0075247B" w:rsidRPr="00F4167F" w:rsidRDefault="0075247B" w:rsidP="00F4167F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</w:tr>
    </w:tbl>
    <w:p w14:paraId="272AB15A" w14:textId="1267A559" w:rsidR="00F4167F" w:rsidRDefault="00F4167F" w:rsidP="00F4167F"/>
    <w:p w14:paraId="6D6010D9" w14:textId="0EB7EB04" w:rsidR="00F4167F" w:rsidRDefault="00F4167F" w:rsidP="00F4167F">
      <w:r>
        <w:t>* Nota: Atributos de egreso del CACEI:</w:t>
      </w:r>
    </w:p>
    <w:p w14:paraId="15251046" w14:textId="4DFE482A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Arial"/>
          <w:lang w:eastAsia="es-MX"/>
        </w:rPr>
      </w:pPr>
      <w:r w:rsidRPr="00950D8B">
        <w:rPr>
          <w:rFonts w:ascii="Arial Narrow" w:eastAsia="Times New Roman" w:hAnsi="Arial Narrow" w:cs="Arial"/>
          <w:lang w:eastAsia="es-MX"/>
        </w:rPr>
        <w:t>Aplica los conocimientos de las matemáticas, las ciencias naturales, la informática y los fundamentos de la ingeniería, y una especialización en ingeniería, como se especifica en WK1 a WK4 respectivamente, para desarrollar soluciones a problemas de ingeniería complejos.</w:t>
      </w:r>
    </w:p>
    <w:p w14:paraId="0A8519CC" w14:textId="095E7001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t>Identifica, formula, investiga bibliografía y analiza problemas de ingeniería complejos llegando a conclusiones fundamentadas utilizando los principios básicos de las matemáticas, las ciencias naturales y las ciencias de la ingeniería, con consideraciones holísticas para el desarrollo sostenible* (WK1 a WK4).</w:t>
      </w:r>
    </w:p>
    <w:p w14:paraId="3469042D" w14:textId="6531CD26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lastRenderedPageBreak/>
        <w:t>Diseña soluciones creativas a problemas de ingeniería complejos y diseña sistemas, componentes o procesos para satisfacer las necesidades identificadas, teniendo en cuenta la salud y la seguridad públicas, el costo del ciclo de vida, el carbono neto cero, así como los recursos, la cultura, la sociedad y las consideraciones ambientales, según sea necesario (WK5).</w:t>
      </w:r>
    </w:p>
    <w:p w14:paraId="598F302C" w14:textId="435BB033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t>Realiza investigaciones de problemas de ingeniería complejos utilizando métodos de investigación, incluyendo el conocimiento basado en la investigación, el diseño de experimentos, el análisis y la interpretación de los datos, y la síntesis de la información para proporcionar conclusiones válidas (WK8).</w:t>
      </w:r>
    </w:p>
    <w:p w14:paraId="7A3B2A3A" w14:textId="156CE75C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t>Crea, selecciona y aplica, y reconoce las limitaciones de las técnicas, los recursos y las herramientas modernas de ingeniería y TI adecuadas, incluyendo la predicción y la modelización, a problemas de ingeniería complejos (WK2 y WK6).</w:t>
      </w:r>
    </w:p>
    <w:p w14:paraId="7A458266" w14:textId="2CA90F5A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t>Al resolver problemas de ingeniería complejos, analiza y evalúa los impactos del desarrollo sostenible* en: la sociedad, la economía, la sostenibilidad, la salud y la seguridad, los marcos legales y el medio ambiente (WK1, WK5 y WK7).</w:t>
      </w:r>
    </w:p>
    <w:p w14:paraId="28FE27A0" w14:textId="112B4EAC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t>Aplica los principios éticos y se compromete con la ética profesional y las normas de la práctica de la ingeniería y cumple con las leyes nacionales e internacionales pertinentes. Demuestra que comprende la necesidad de la diversidad y la inclusion (WK9).</w:t>
      </w:r>
    </w:p>
    <w:p w14:paraId="78309E44" w14:textId="3E13F1EE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t>Se desempeña eficazmente como individuo, y como miembro o líder en equipos diversos e inclusivos y en entornos multidisciplinarios, presenciales, remotos y distribuidos (WK9).</w:t>
      </w:r>
    </w:p>
    <w:p w14:paraId="7FD450C6" w14:textId="3A908886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t>Se comunica de forma efectiva e inclusiva en actividades de ingeniería complejas, con la comunidad de ingenieros y con la sociedad en general, tales como: ser capaz de comprender y redactar informes y documentación de diseño efectivos, hacer presentaciones efectivas, teniendo en cuenta las diferencias culturales, lingüísticas y de aprendizaje.</w:t>
      </w:r>
    </w:p>
    <w:p w14:paraId="053F03E7" w14:textId="4A7881F6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t>Aplica el conocimiento y la comprensión de los principios de gestión de la ingeniería y la toma de decisiones económicas y aplica éstos al trabajo propio, como miembro y líder en un equipo, y para gestionar proyectos y en entornos multidisciplinarios.</w:t>
      </w:r>
    </w:p>
    <w:p w14:paraId="4AF6B5B6" w14:textId="07C623D9" w:rsidR="00950D8B" w:rsidRPr="00950D8B" w:rsidRDefault="00950D8B" w:rsidP="00950D8B">
      <w:pPr>
        <w:pStyle w:val="Prrafodelista"/>
        <w:numPr>
          <w:ilvl w:val="0"/>
          <w:numId w:val="4"/>
        </w:numPr>
        <w:rPr>
          <w:rFonts w:ascii="Arial Narrow" w:eastAsia="Times New Roman" w:hAnsi="Arial Narrow" w:cs="Calibri"/>
          <w:lang w:eastAsia="es-MX"/>
        </w:rPr>
      </w:pPr>
      <w:r w:rsidRPr="00950D8B">
        <w:rPr>
          <w:rFonts w:ascii="Arial Narrow" w:eastAsia="Times New Roman" w:hAnsi="Arial Narrow" w:cs="Calibri"/>
          <w:lang w:eastAsia="es-MX"/>
        </w:rPr>
        <w:t>Reconoce la necesidad de, y tiene la preparación y capacidad para i) el aprendizaje independiente y durante toda la vida, ii) la adaptabilidad a las tecnologías nuevas y emergentes y iii) el pensamiento crítico en el contexto más amplio del cambio tecnológico (WK8).</w:t>
      </w:r>
    </w:p>
    <w:p w14:paraId="374E260D" w14:textId="77777777" w:rsidR="00950D8B" w:rsidRDefault="00950D8B" w:rsidP="00F4167F">
      <w:pPr>
        <w:rPr>
          <w:rFonts w:cs="Arial"/>
        </w:rPr>
      </w:pPr>
    </w:p>
    <w:p w14:paraId="6A0418AB" w14:textId="77777777" w:rsidR="00C87239" w:rsidRPr="00950D8B" w:rsidRDefault="00C87239" w:rsidP="00F4167F">
      <w:pPr>
        <w:rPr>
          <w:rFonts w:cs="Arial"/>
        </w:rPr>
      </w:pPr>
    </w:p>
    <w:tbl>
      <w:tblPr>
        <w:tblW w:w="13608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9923"/>
      </w:tblGrid>
      <w:tr w:rsidR="00F4167F" w:rsidRPr="00F4167F" w14:paraId="25A93725" w14:textId="77777777" w:rsidTr="00C87239">
        <w:trPr>
          <w:trHeight w:val="652"/>
        </w:trPr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E476AB" w14:textId="379F9863" w:rsidR="00F4167F" w:rsidRPr="00C87239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b/>
                <w:bCs/>
                <w:lang w:eastAsia="es-MX"/>
              </w:rPr>
              <w:t>INSTRUCCIONES PARA EL LLENADO</w:t>
            </w:r>
            <w:r w:rsidRPr="00C87239">
              <w:rPr>
                <w:rFonts w:ascii="Arial Narrow" w:eastAsia="Times New Roman" w:hAnsi="Arial Narrow" w:cs="Calibri"/>
                <w:b/>
                <w:bCs/>
                <w:lang w:eastAsia="es-MX"/>
              </w:rPr>
              <w:br/>
              <w:t xml:space="preserve">CÉDULA </w:t>
            </w:r>
            <w:r w:rsidR="00950D8B" w:rsidRPr="00C87239">
              <w:rPr>
                <w:rFonts w:ascii="Arial Narrow" w:eastAsia="Times New Roman" w:hAnsi="Arial Narrow" w:cs="Calibri"/>
                <w:b/>
                <w:bCs/>
                <w:lang w:eastAsia="es-MX"/>
              </w:rPr>
              <w:t>4.1.b</w:t>
            </w:r>
          </w:p>
        </w:tc>
      </w:tr>
      <w:tr w:rsidR="00F4167F" w:rsidRPr="00F4167F" w14:paraId="4264EA98" w14:textId="77777777" w:rsidTr="00C87239">
        <w:trPr>
          <w:trHeight w:val="31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B542AF" w14:textId="77777777" w:rsidR="00F4167F" w:rsidRPr="00C87239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b/>
                <w:bCs/>
                <w:lang w:eastAsia="es-MX"/>
              </w:rPr>
              <w:t>Celda o celdas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FCC0EEA" w14:textId="77777777" w:rsidR="00F4167F" w:rsidRPr="00C87239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b/>
                <w:bCs/>
                <w:lang w:eastAsia="es-MX"/>
              </w:rPr>
              <w:t>Información requerida.</w:t>
            </w:r>
          </w:p>
        </w:tc>
      </w:tr>
      <w:tr w:rsidR="00F4167F" w:rsidRPr="00F4167F" w14:paraId="1621BB9F" w14:textId="77777777" w:rsidTr="00C87239">
        <w:trPr>
          <w:trHeight w:val="55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9CEA" w14:textId="75CD82DA" w:rsidR="00F4167F" w:rsidRPr="00C87239" w:rsidRDefault="00F4167F" w:rsidP="00C87239">
            <w:pPr>
              <w:pStyle w:val="Prrafodelista"/>
              <w:numPr>
                <w:ilvl w:val="0"/>
                <w:numId w:val="5"/>
              </w:numPr>
              <w:ind w:left="227" w:hanging="227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Atributos de egreso del programa educativo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737D" w14:textId="77777777" w:rsidR="00C87239" w:rsidRDefault="00F4167F" w:rsidP="00F4167F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>Enunciado de cada atributo de egreso del programa educativo</w:t>
            </w:r>
            <w:r w:rsidR="00BD62AB" w:rsidRP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>.</w:t>
            </w:r>
          </w:p>
          <w:p w14:paraId="77F892B9" w14:textId="3EC5B2B4" w:rsidR="00F4167F" w:rsidRPr="00C87239" w:rsidRDefault="00BD62AB" w:rsidP="00F4167F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>Si se requiere, agregar más filas.</w:t>
            </w:r>
          </w:p>
        </w:tc>
      </w:tr>
      <w:tr w:rsidR="00F4167F" w:rsidRPr="00F4167F" w14:paraId="3850E974" w14:textId="77777777" w:rsidTr="00C87239">
        <w:trPr>
          <w:trHeight w:val="55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7258" w14:textId="7292C037" w:rsidR="00F4167F" w:rsidRPr="00C87239" w:rsidRDefault="00F4167F" w:rsidP="00C87239">
            <w:pPr>
              <w:pStyle w:val="Prrafodelista"/>
              <w:numPr>
                <w:ilvl w:val="0"/>
                <w:numId w:val="5"/>
              </w:numPr>
              <w:ind w:left="227" w:hanging="227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 xml:space="preserve">Nombre abreviado </w:t>
            </w:r>
            <w:r w:rsidR="00C87239" w:rsidRPr="00C87239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 xml:space="preserve"> </w:t>
            </w:r>
            <w:r w:rsidRPr="00C87239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 xml:space="preserve">de los atributos de egreso 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5A8F" w14:textId="77777777" w:rsidR="00F4167F" w:rsidRPr="00C87239" w:rsidRDefault="00F4167F" w:rsidP="00F4167F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>Enunciado sintético que permita recordar el atributo para su referencia en otras cédulas.</w:t>
            </w:r>
          </w:p>
        </w:tc>
      </w:tr>
      <w:tr w:rsidR="00F4167F" w:rsidRPr="00F4167F" w14:paraId="3D69A058" w14:textId="77777777" w:rsidTr="00C87239">
        <w:trPr>
          <w:trHeight w:val="55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E840" w14:textId="5057A8D7" w:rsidR="00F4167F" w:rsidRPr="00C87239" w:rsidRDefault="00F4167F" w:rsidP="00C87239">
            <w:pPr>
              <w:pStyle w:val="Prrafodelista"/>
              <w:numPr>
                <w:ilvl w:val="0"/>
                <w:numId w:val="5"/>
              </w:numPr>
              <w:ind w:left="227" w:hanging="227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Atributos de egreso propuestos por el CACEI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A250" w14:textId="48C7CAC4" w:rsidR="00F4167F" w:rsidRPr="00C87239" w:rsidRDefault="00F4167F" w:rsidP="00F4167F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>Marcar con</w:t>
            </w:r>
            <w:r w:rsid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 una</w:t>
            </w:r>
            <w:r w:rsidRP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 X la celda de cada atributo del PE que tenga equivalencia con los atributos de egreso de CACEI.</w:t>
            </w:r>
          </w:p>
        </w:tc>
      </w:tr>
      <w:tr w:rsidR="00F4167F" w:rsidRPr="00F4167F" w14:paraId="64F5EB4C" w14:textId="77777777" w:rsidTr="00C87239">
        <w:trPr>
          <w:trHeight w:val="676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1C2C" w14:textId="5F6701D7" w:rsidR="00F4167F" w:rsidRPr="00C87239" w:rsidRDefault="00F4167F" w:rsidP="00C87239">
            <w:pPr>
              <w:pStyle w:val="Prrafodelista"/>
              <w:numPr>
                <w:ilvl w:val="0"/>
                <w:numId w:val="5"/>
              </w:numPr>
              <w:ind w:left="227" w:hanging="227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Justificación de la equivalencia entre los atributos del PE y los de CACEI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9368" w14:textId="6EB609A2" w:rsidR="00F4167F" w:rsidRPr="00C87239" w:rsidRDefault="00F4167F" w:rsidP="00F4167F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Justificación detallada de la equivalencia parcial o total del atributo de egreso del </w:t>
            </w:r>
            <w:r w:rsid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>PE</w:t>
            </w:r>
            <w:r w:rsidRPr="00C87239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 respecto a uno o más atributos de egreso del CACEI.</w:t>
            </w:r>
          </w:p>
        </w:tc>
      </w:tr>
    </w:tbl>
    <w:p w14:paraId="4E947895" w14:textId="77777777" w:rsidR="00DA53BE" w:rsidRDefault="00DA53BE"/>
    <w:sectPr w:rsidR="00DA53BE" w:rsidSect="00E15A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BC19D" w14:textId="77777777" w:rsidR="0093180B" w:rsidRDefault="0093180B" w:rsidP="00F4167F">
      <w:r>
        <w:separator/>
      </w:r>
    </w:p>
  </w:endnote>
  <w:endnote w:type="continuationSeparator" w:id="0">
    <w:p w14:paraId="5EDD950B" w14:textId="77777777" w:rsidR="0093180B" w:rsidRDefault="0093180B" w:rsidP="00F4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EACBE" w14:textId="77777777" w:rsidR="00C87239" w:rsidRDefault="00C8723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034839"/>
      <w:docPartObj>
        <w:docPartGallery w:val="Page Numbers (Bottom of Page)"/>
        <w:docPartUnique/>
      </w:docPartObj>
    </w:sdtPr>
    <w:sdtContent>
      <w:p w14:paraId="7500AD3C" w14:textId="0A880A20" w:rsidR="00F4167F" w:rsidRDefault="00F4167F" w:rsidP="00F416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1DD" w:rsidRPr="00CB51DD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FA28A" w14:textId="77777777" w:rsidR="00C87239" w:rsidRDefault="00C872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42DDC" w14:textId="77777777" w:rsidR="0093180B" w:rsidRDefault="0093180B" w:rsidP="00F4167F">
      <w:r>
        <w:separator/>
      </w:r>
    </w:p>
  </w:footnote>
  <w:footnote w:type="continuationSeparator" w:id="0">
    <w:p w14:paraId="61F8A482" w14:textId="77777777" w:rsidR="0093180B" w:rsidRDefault="0093180B" w:rsidP="00F4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CC52B" w14:textId="77777777" w:rsidR="00C87239" w:rsidRDefault="00C8723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84E00" w14:textId="038302A0" w:rsidR="00E15AED" w:rsidRPr="00FE4C33" w:rsidRDefault="00E15AED" w:rsidP="00E15AED">
    <w:pPr>
      <w:pStyle w:val="Encabezado"/>
      <w:rPr>
        <w:rFonts w:ascii="Arial Narrow" w:hAnsi="Arial Narrow" w:cs="Arial"/>
        <w:sz w:val="18"/>
        <w:szCs w:val="18"/>
      </w:rPr>
    </w:pPr>
    <w:r w:rsidRPr="00FE4C33">
      <w:rPr>
        <w:rFonts w:ascii="Arial Narrow" w:hAnsi="Arial Narrow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EABD1C0" wp14:editId="37214095">
          <wp:simplePos x="0" y="0"/>
          <wp:positionH relativeFrom="margin">
            <wp:posOffset>-635</wp:posOffset>
          </wp:positionH>
          <wp:positionV relativeFrom="margin">
            <wp:posOffset>-621155</wp:posOffset>
          </wp:positionV>
          <wp:extent cx="1195705" cy="561975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70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4C33">
      <w:rPr>
        <w:rFonts w:ascii="Arial Narrow" w:hAnsi="Arial Narrow"/>
        <w:sz w:val="18"/>
        <w:szCs w:val="18"/>
      </w:rPr>
      <w:ptab w:relativeTo="margin" w:alignment="center" w:leader="none"/>
    </w:r>
    <w:r w:rsidRPr="00FE4C33">
      <w:rPr>
        <w:rFonts w:ascii="Arial Narrow" w:hAnsi="Arial Narrow"/>
        <w:sz w:val="18"/>
        <w:szCs w:val="18"/>
      </w:rPr>
      <w:ptab w:relativeTo="margin" w:alignment="right" w:leader="none"/>
    </w:r>
    <w:r w:rsidRPr="00FE4C33">
      <w:rPr>
        <w:rFonts w:ascii="Arial Narrow" w:hAnsi="Arial Narrow"/>
        <w:sz w:val="18"/>
        <w:szCs w:val="18"/>
      </w:rPr>
      <w:ptab w:relativeTo="margin" w:alignment="center" w:leader="none"/>
    </w:r>
    <w:r w:rsidRPr="00FE4C33">
      <w:rPr>
        <w:rFonts w:ascii="Arial Narrow" w:hAnsi="Arial Narrow"/>
        <w:sz w:val="18"/>
        <w:szCs w:val="18"/>
      </w:rPr>
      <w:ptab w:relativeTo="margin" w:alignment="right" w:leader="none"/>
    </w:r>
    <w:r w:rsidRPr="00FE4C33">
      <w:rPr>
        <w:rFonts w:ascii="Arial Narrow" w:hAnsi="Arial Narrow" w:cs="Arial"/>
        <w:sz w:val="18"/>
        <w:szCs w:val="18"/>
      </w:rPr>
      <w:t>P-CACEI-DAC-01-R01</w:t>
    </w:r>
  </w:p>
  <w:p w14:paraId="61FAB5E4" w14:textId="77777777" w:rsidR="00E15AED" w:rsidRPr="00FE4C33" w:rsidRDefault="00E15AED" w:rsidP="00E15AED">
    <w:pPr>
      <w:pStyle w:val="Encabezado"/>
      <w:jc w:val="right"/>
      <w:rPr>
        <w:rFonts w:ascii="Arial Narrow" w:hAnsi="Arial Narrow" w:cs="Arial"/>
        <w:sz w:val="18"/>
        <w:szCs w:val="18"/>
      </w:rPr>
    </w:pPr>
    <w:r w:rsidRPr="00FE4C33">
      <w:rPr>
        <w:rFonts w:ascii="Arial Narrow" w:hAnsi="Arial Narrow" w:cs="Arial"/>
        <w:sz w:val="18"/>
        <w:szCs w:val="18"/>
      </w:rPr>
      <w:t>Revisión: 1</w:t>
    </w:r>
  </w:p>
  <w:p w14:paraId="10464FC7" w14:textId="00E16560" w:rsidR="00F4167F" w:rsidRPr="00FE4C33" w:rsidRDefault="00E15AED" w:rsidP="00E15AED">
    <w:pPr>
      <w:pStyle w:val="Encabezado"/>
      <w:jc w:val="right"/>
      <w:rPr>
        <w:rFonts w:ascii="Arial Narrow" w:hAnsi="Arial Narrow" w:cs="Arial"/>
        <w:sz w:val="18"/>
        <w:szCs w:val="18"/>
      </w:rPr>
    </w:pPr>
    <w:r w:rsidRPr="00FE4C33">
      <w:rPr>
        <w:rFonts w:ascii="Arial Narrow" w:hAnsi="Arial Narrow" w:cs="Arial"/>
        <w:sz w:val="18"/>
        <w:szCs w:val="18"/>
      </w:rPr>
      <w:t>Vigente a partir del 1 de enero de 2025</w:t>
    </w:r>
  </w:p>
  <w:p w14:paraId="4334FFBF" w14:textId="77777777" w:rsidR="00E15AED" w:rsidRPr="00FE4C33" w:rsidRDefault="00E15AED" w:rsidP="00E15AED">
    <w:pPr>
      <w:pStyle w:val="Encabezado"/>
      <w:jc w:val="right"/>
      <w:rPr>
        <w:rFonts w:ascii="Arial Narrow" w:hAnsi="Arial Narrow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B76A" w14:textId="77777777" w:rsidR="00C87239" w:rsidRDefault="00C872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D52EE"/>
    <w:multiLevelType w:val="hybridMultilevel"/>
    <w:tmpl w:val="804687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E6B9F"/>
    <w:multiLevelType w:val="hybridMultilevel"/>
    <w:tmpl w:val="17789DA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3D04F2"/>
    <w:multiLevelType w:val="hybridMultilevel"/>
    <w:tmpl w:val="DC9A86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A19DD"/>
    <w:multiLevelType w:val="hybridMultilevel"/>
    <w:tmpl w:val="BC8822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011B2"/>
    <w:multiLevelType w:val="hybridMultilevel"/>
    <w:tmpl w:val="79EA76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229972">
    <w:abstractNumId w:val="3"/>
  </w:num>
  <w:num w:numId="2" w16cid:durableId="533151718">
    <w:abstractNumId w:val="4"/>
  </w:num>
  <w:num w:numId="3" w16cid:durableId="2015569639">
    <w:abstractNumId w:val="2"/>
  </w:num>
  <w:num w:numId="4" w16cid:durableId="1415665924">
    <w:abstractNumId w:val="0"/>
  </w:num>
  <w:num w:numId="5" w16cid:durableId="599535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7F"/>
    <w:rsid w:val="000656EA"/>
    <w:rsid w:val="00136C16"/>
    <w:rsid w:val="0022663F"/>
    <w:rsid w:val="002734BE"/>
    <w:rsid w:val="003847CE"/>
    <w:rsid w:val="00417239"/>
    <w:rsid w:val="004911FB"/>
    <w:rsid w:val="004D2F7B"/>
    <w:rsid w:val="005F6337"/>
    <w:rsid w:val="0075247B"/>
    <w:rsid w:val="00842EC1"/>
    <w:rsid w:val="009200D3"/>
    <w:rsid w:val="0093180B"/>
    <w:rsid w:val="00950D8B"/>
    <w:rsid w:val="009A7836"/>
    <w:rsid w:val="00B5276F"/>
    <w:rsid w:val="00BD62AB"/>
    <w:rsid w:val="00C30F54"/>
    <w:rsid w:val="00C31985"/>
    <w:rsid w:val="00C87239"/>
    <w:rsid w:val="00CB51DD"/>
    <w:rsid w:val="00D631F5"/>
    <w:rsid w:val="00DA53BE"/>
    <w:rsid w:val="00E15AED"/>
    <w:rsid w:val="00E61C87"/>
    <w:rsid w:val="00E97CAC"/>
    <w:rsid w:val="00F4167F"/>
    <w:rsid w:val="00FE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6791D"/>
  <w15:chartTrackingRefBased/>
  <w15:docId w15:val="{5B1736E6-03C9-4FBC-8A75-EB448E6B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BE"/>
    <w:pPr>
      <w:spacing w:after="0" w:line="240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A53BE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A53BE"/>
    <w:pPr>
      <w:outlineLvl w:val="1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A53BE"/>
    <w:pPr>
      <w:jc w:val="center"/>
    </w:pPr>
    <w:rPr>
      <w:rFonts w:ascii="Times New Roman" w:hAnsi="Times New Roman" w:cs="Times New Roman"/>
      <w:smallCaps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DA53BE"/>
    <w:rPr>
      <w:rFonts w:ascii="Times New Roman" w:hAnsi="Times New Roman" w:cs="Times New Roman"/>
      <w:smallCaps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DA53BE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DA53BE"/>
    <w:rPr>
      <w:rFonts w:ascii="Arial" w:hAnsi="Arial"/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67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67F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F4167F"/>
    <w:pPr>
      <w:ind w:left="720"/>
      <w:contextualSpacing/>
    </w:pPr>
  </w:style>
  <w:style w:type="table" w:styleId="Tablaconcuadrcula">
    <w:name w:val="Table Grid"/>
    <w:basedOn w:val="Tablanormal"/>
    <w:uiPriority w:val="39"/>
    <w:rsid w:val="00950D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.DESKTOP-SFLD20T\AppData\Roaming\Microsoft\Templates\LucyNormal2005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C:\Users\Lucy.DESKTOP-SFLD20T\AppData\Roaming\Microsoft\Templates\LucyNormal200520.dotx</Template>
  <TotalTime>16</TotalTime>
  <Pages>2</Pages>
  <Words>726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José H. Loría A.</cp:lastModifiedBy>
  <cp:revision>6</cp:revision>
  <cp:lastPrinted>2023-03-24T15:40:00Z</cp:lastPrinted>
  <dcterms:created xsi:type="dcterms:W3CDTF">2023-03-24T15:40:00Z</dcterms:created>
  <dcterms:modified xsi:type="dcterms:W3CDTF">2023-03-24T20:30:00Z</dcterms:modified>
</cp:coreProperties>
</file>